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BD917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伊吾工业园区调扩区总体规划（2025-2035年）环境影响报告书</w:t>
      </w:r>
      <w:bookmarkStart w:id="0" w:name="_GoBack"/>
      <w:bookmarkEnd w:id="0"/>
    </w:p>
    <w:p w14:paraId="5A5D508C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公众参与第一次公示</w:t>
      </w:r>
    </w:p>
    <w:p w14:paraId="2EA9E0B3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根据《中华人民共和国环境影响评价法》、《规划环境影响评价条例》及《环境影响评价公众参与办法》的相关规定，现将本次规划环境影响报告书的有关信息进行公示，并征求公众意见。</w:t>
      </w:r>
    </w:p>
    <w:p w14:paraId="461DF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  <w:t>一、规划概况</w:t>
      </w:r>
    </w:p>
    <w:p w14:paraId="2C9031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  <w:color w:val="333333"/>
          <w:kern w:val="0"/>
          <w:szCs w:val="21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  <w14:ligatures w14:val="none"/>
        </w:rPr>
        <w:t>规划名称：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伊吾工业园区调扩区总体规划（2025-2035年）</w:t>
      </w:r>
    </w:p>
    <w:p w14:paraId="32C1952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  <w14:ligatures w14:val="none"/>
        </w:rPr>
        <w:t>规划范围：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伊吾工业园区调扩区总体规划（2025-2035年）按照“一园三区”布局，其中淖毛湖片区东至烟淖路、南至成业路、西至迎宾大道、北至顺兴路，规划面积14.08平方公里；白石湖片区东至白石湖产业园经八路、南至白石湖纬五路、西至白石湖经三路、北至广汇运煤专线，规划面积7.56平方公里；盐池片区北以国道335为界，南至科技二路，东至天宇农业，西至鼎鑫加油加气站，规划用地总面积约0.85平方公里；总用地面积22.49平方公里。</w:t>
      </w:r>
    </w:p>
    <w:p w14:paraId="478486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  <w14:ligatures w14:val="none"/>
        </w:rPr>
        <w:t>规划内容：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产业定位为以煤炭和煤电为基础，重点发展以煤炭分级分质综合利用、煤基清洁燃料、煤基精细化学品为主导的现代煤化工示范基地；实现“资源—产品—再生资源”的闭路循环和资源梯次利用的循环经济产业示范区；建设研发设计、检测认证、运维管理、综合服务为一体的风光储氢高端装备产业基地；推动“智慧农业+有机认证+生物科技+品牌销售”，建设农副产品加工业示范园。</w:t>
      </w:r>
    </w:p>
    <w:p w14:paraId="421BB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auto"/>
          <w:kern w:val="2"/>
          <w:sz w:val="32"/>
          <w:szCs w:val="32"/>
          <w:lang w:val="en-US" w:eastAsia="zh-CN" w:bidi="ar-SA"/>
          <w14:ligatures w14:val="none"/>
        </w:rPr>
        <w:t>规划期限：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规划期限为2025－2035年，近期规划为2025－2030年，远期规划为2031－2035年。</w:t>
      </w:r>
    </w:p>
    <w:p w14:paraId="3B42B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  <w:t>二、规划实施单位名称及联系方式</w:t>
      </w:r>
    </w:p>
    <w:p w14:paraId="0900FF75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单位名称：伊吾县工业园区管理委员会</w:t>
      </w:r>
    </w:p>
    <w:p w14:paraId="0654E49A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通讯地址：伊吾县工业园区管理委员会</w:t>
      </w:r>
    </w:p>
    <w:p w14:paraId="01D2AB29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联 系 人：朱丽德孜</w:t>
      </w:r>
    </w:p>
    <w:p w14:paraId="09FCF4C0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联系电话：13779377002</w:t>
      </w:r>
    </w:p>
    <w:p w14:paraId="48462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  <w:t>三、承担环境影响评价单位名称及联系方式</w:t>
      </w:r>
    </w:p>
    <w:p w14:paraId="47548649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评价单位：新疆化工设计研究院有限责任公司</w:t>
      </w:r>
    </w:p>
    <w:p w14:paraId="10B06DA6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通讯地址：乌鲁木齐市新市区喀什东路559号</w:t>
      </w:r>
    </w:p>
    <w:p w14:paraId="5B6B2596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联 系 人：李明罡</w:t>
      </w:r>
    </w:p>
    <w:p w14:paraId="388DD2BF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联系电话：0991-7987541</w:t>
      </w:r>
    </w:p>
    <w:p w14:paraId="33DAA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  <w:t>四、公众意见表的网络连接</w:t>
      </w:r>
    </w:p>
    <w:p w14:paraId="667B480A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http://www.xjhbcy.cn/hbcyxh/xxgk/255400/hjyxpjgzcygs/284162/index.html。</w:t>
      </w:r>
    </w:p>
    <w:p w14:paraId="22879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14:ligatures w14:val="none"/>
        </w:rPr>
        <w:t>五、提交公众意见表的方式和途径</w:t>
      </w:r>
    </w:p>
    <w:p w14:paraId="460E3324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公众可以在本信息公开后10个工作日内，以信函、传真、电子邮件或者按照有关公告要求的其他方式，向建设单位或者其委托的环境影响评价机构、负责审批的生态环境行政主管部门，提交书面意见。</w:t>
      </w:r>
    </w:p>
    <w:p w14:paraId="31944738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 w:firstLineChars="200"/>
        <w:textAlignment w:val="auto"/>
        <w:outlineLvl w:val="0"/>
        <w:rPr>
          <w:rFonts w:hint="eastAsia" w:ascii="Times New Roman" w:hAnsi="Times New Roman" w:cs="仿宋_GB2312"/>
          <w:color w:val="333333"/>
          <w:sz w:val="21"/>
          <w:szCs w:val="21"/>
          <w:shd w:val="clear" w:color="auto" w:fill="FFFFFF"/>
        </w:rPr>
      </w:pPr>
    </w:p>
    <w:p w14:paraId="48A1D280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0" w:firstLineChars="200"/>
        <w:textAlignment w:val="auto"/>
        <w:outlineLvl w:val="0"/>
        <w:rPr>
          <w:rFonts w:hint="eastAsia" w:ascii="Times New Roman" w:hAnsi="Times New Roman" w:cs="仿宋_GB2312"/>
          <w:color w:val="333333"/>
          <w:sz w:val="21"/>
          <w:szCs w:val="21"/>
          <w:shd w:val="clear" w:color="auto" w:fill="FFFFFF"/>
        </w:rPr>
      </w:pPr>
    </w:p>
    <w:p w14:paraId="2E9C0221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>伊吾县工业园区管理委员会</w:t>
      </w:r>
    </w:p>
    <w:p w14:paraId="00EC819E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  <w:t xml:space="preserve">                                                         2025年11月5日</w:t>
      </w:r>
    </w:p>
    <w:p w14:paraId="22972F1A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  <w14:ligatures w14:val="none"/>
        </w:rPr>
      </w:pPr>
    </w:p>
    <w:sectPr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9D"/>
    <w:rsid w:val="000026B6"/>
    <w:rsid w:val="00025A93"/>
    <w:rsid w:val="000305DE"/>
    <w:rsid w:val="000D0848"/>
    <w:rsid w:val="000E3356"/>
    <w:rsid w:val="00230CB3"/>
    <w:rsid w:val="002C135A"/>
    <w:rsid w:val="002C788F"/>
    <w:rsid w:val="002E01A5"/>
    <w:rsid w:val="0032518D"/>
    <w:rsid w:val="00334C40"/>
    <w:rsid w:val="00493B04"/>
    <w:rsid w:val="004D0C5B"/>
    <w:rsid w:val="00553F2B"/>
    <w:rsid w:val="005B3D45"/>
    <w:rsid w:val="00663525"/>
    <w:rsid w:val="006A4597"/>
    <w:rsid w:val="00781FDF"/>
    <w:rsid w:val="0078786C"/>
    <w:rsid w:val="00797BB7"/>
    <w:rsid w:val="007A06B6"/>
    <w:rsid w:val="008216E9"/>
    <w:rsid w:val="00851E46"/>
    <w:rsid w:val="0087338F"/>
    <w:rsid w:val="008A47CE"/>
    <w:rsid w:val="008B0DA3"/>
    <w:rsid w:val="0095205F"/>
    <w:rsid w:val="0095724F"/>
    <w:rsid w:val="009B2B64"/>
    <w:rsid w:val="009D4D6D"/>
    <w:rsid w:val="009E619D"/>
    <w:rsid w:val="00A362E3"/>
    <w:rsid w:val="00A40F3E"/>
    <w:rsid w:val="00A6131C"/>
    <w:rsid w:val="00A65F87"/>
    <w:rsid w:val="00AA41E7"/>
    <w:rsid w:val="00AC0113"/>
    <w:rsid w:val="00AF5649"/>
    <w:rsid w:val="00B058C4"/>
    <w:rsid w:val="00B56DF0"/>
    <w:rsid w:val="00B9489B"/>
    <w:rsid w:val="00C02A81"/>
    <w:rsid w:val="00C175FC"/>
    <w:rsid w:val="00C30BE5"/>
    <w:rsid w:val="00C3192B"/>
    <w:rsid w:val="00CA00DF"/>
    <w:rsid w:val="00CD7FF5"/>
    <w:rsid w:val="00D1703A"/>
    <w:rsid w:val="00DA27D5"/>
    <w:rsid w:val="00E44F7C"/>
    <w:rsid w:val="00E46160"/>
    <w:rsid w:val="00E6353C"/>
    <w:rsid w:val="00F60D87"/>
    <w:rsid w:val="00F6439D"/>
    <w:rsid w:val="00FB6366"/>
    <w:rsid w:val="00FE5579"/>
    <w:rsid w:val="00FF3C04"/>
    <w:rsid w:val="4D7E376C"/>
    <w:rsid w:val="5BBE7BE3"/>
    <w:rsid w:val="6D62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standardContextual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next w:val="5"/>
    <w:qFormat/>
    <w:uiPriority w:val="0"/>
    <w:pPr>
      <w:widowControl/>
    </w:pPr>
    <w:rPr>
      <w:rFonts w:ascii="仿宋_GB2312" w:hAnsi="宋体" w:eastAsia="仿宋_GB2312"/>
    </w:rPr>
  </w:style>
  <w:style w:type="paragraph" w:customStyle="1" w:styleId="5">
    <w:name w:val="T正文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sz w:val="28"/>
      <w:lang w:val="en-US" w:eastAsia="zh-CN" w:bidi="ar-SA"/>
    </w:rPr>
  </w:style>
  <w:style w:type="paragraph" w:styleId="6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1">
    <w:name w:val="页眉 字符"/>
    <w:basedOn w:val="10"/>
    <w:link w:val="7"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969</Characters>
  <Lines>7</Lines>
  <Paragraphs>1</Paragraphs>
  <TotalTime>0</TotalTime>
  <ScaleCrop>false</ScaleCrop>
  <LinksUpToDate>false</LinksUpToDate>
  <CharactersWithSpaces>1030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2025-08-04T04:10:00Z</dcterms:created>
  <dc:creator>Minggang Li</dc:creator>
  <cp:lastModifiedBy>勇气果子</cp:lastModifiedBy>
  <dcterms:modified xsi:type="dcterms:W3CDTF">2026-01-12T12:03:23Z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eyJoZGlkIjoiNDgwMzZlYzEyZjcwMjRlODY2OTg2NWM5ZWZiOTBkNGYiLCJ1c2VySWQiOiIzNzk1NTU1OTMifQ==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43DCFFD128D841A4BF991F8EBA49B485_13</vt:lpwstr>
  </property>
</Properties>
</file>